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49" w:rsidRPr="00BC7CE6" w:rsidRDefault="00DA6049" w:rsidP="00DA604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Д М И Н И С Т </w:t>
      </w:r>
      <w:proofErr w:type="gramStart"/>
      <w:r w:rsidRPr="00BC7CE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BC7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Ц И Я</w:t>
      </w:r>
    </w:p>
    <w:p w:rsidR="00DA6049" w:rsidRPr="00BC7CE6" w:rsidRDefault="00DA6049" w:rsidP="00DA604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CE6">
        <w:rPr>
          <w:rFonts w:ascii="Times New Roman" w:hAnsi="Times New Roman" w:cs="Times New Roman"/>
          <w:color w:val="000000" w:themeColor="text1"/>
          <w:sz w:val="28"/>
          <w:szCs w:val="28"/>
        </w:rPr>
        <w:t>ОЛЬХОВСКОГО МУНИЦИПАЛЬНОГО РАЙОНА</w:t>
      </w:r>
    </w:p>
    <w:p w:rsidR="00DA6049" w:rsidRPr="00BC7CE6" w:rsidRDefault="00DA6049" w:rsidP="00DA604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CE6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ВОЛГОГРАДСКОЙ ОБЛАСТИ</w:t>
      </w:r>
    </w:p>
    <w:p w:rsidR="00DA6049" w:rsidRPr="00BC7CE6" w:rsidRDefault="00DA6049" w:rsidP="00DA604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CE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DA6049" w:rsidRPr="00BC7CE6" w:rsidRDefault="00DA6049" w:rsidP="00DA604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C7CE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BC7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Е Н И Е</w:t>
      </w:r>
    </w:p>
    <w:p w:rsidR="00DA6049" w:rsidRDefault="00DA6049" w:rsidP="00DA60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6049" w:rsidRPr="00AE1835" w:rsidRDefault="00DA6049" w:rsidP="00DA60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35">
        <w:rPr>
          <w:rFonts w:ascii="Times New Roman" w:hAnsi="Times New Roman" w:cs="Times New Roman"/>
          <w:color w:val="000000" w:themeColor="text1"/>
          <w:sz w:val="28"/>
          <w:szCs w:val="28"/>
        </w:rPr>
        <w:t>от 30.09.2022  № 709</w:t>
      </w:r>
    </w:p>
    <w:p w:rsidR="00DA6049" w:rsidRPr="00AE1835" w:rsidRDefault="00DA6049" w:rsidP="00DA6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835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 программы </w:t>
      </w:r>
    </w:p>
    <w:p w:rsidR="00DA6049" w:rsidRPr="00AE1835" w:rsidRDefault="00DA6049" w:rsidP="00DA6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835">
        <w:rPr>
          <w:rFonts w:ascii="Times New Roman" w:hAnsi="Times New Roman" w:cs="Times New Roman"/>
          <w:sz w:val="28"/>
          <w:szCs w:val="28"/>
        </w:rPr>
        <w:t xml:space="preserve">«Развитие и поддержка малого и среднего </w:t>
      </w:r>
    </w:p>
    <w:p w:rsidR="00DA6049" w:rsidRPr="00AE1835" w:rsidRDefault="00DA6049" w:rsidP="00DA6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835">
        <w:rPr>
          <w:rFonts w:ascii="Times New Roman" w:hAnsi="Times New Roman" w:cs="Times New Roman"/>
          <w:sz w:val="28"/>
          <w:szCs w:val="28"/>
        </w:rPr>
        <w:t xml:space="preserve">предпринимательства  в Ольховском муниципальном районе Волгоградской области на 2023-2025 годы»  </w:t>
      </w:r>
    </w:p>
    <w:p w:rsidR="00DA6049" w:rsidRPr="00AE1835" w:rsidRDefault="00DA6049" w:rsidP="00DA60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835">
        <w:rPr>
          <w:rFonts w:ascii="Times New Roman" w:hAnsi="Times New Roman" w:cs="Times New Roman"/>
          <w:sz w:val="28"/>
          <w:szCs w:val="28"/>
        </w:rPr>
        <w:t xml:space="preserve"> </w:t>
      </w:r>
      <w:r w:rsidRPr="00AE1835">
        <w:rPr>
          <w:rFonts w:ascii="Times New Roman" w:hAnsi="Times New Roman" w:cs="Times New Roman"/>
          <w:sz w:val="28"/>
          <w:szCs w:val="28"/>
        </w:rPr>
        <w:tab/>
      </w:r>
    </w:p>
    <w:p w:rsidR="00DA6049" w:rsidRPr="00AE1835" w:rsidRDefault="00DA6049" w:rsidP="00DA6049">
      <w:pPr>
        <w:spacing w:after="0" w:line="240" w:lineRule="auto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835">
        <w:rPr>
          <w:rFonts w:ascii="Times New Roman" w:hAnsi="Times New Roman" w:cs="Times New Roman"/>
          <w:sz w:val="28"/>
          <w:szCs w:val="28"/>
        </w:rPr>
        <w:t>В целях создания благоприятных условий для развития малого предпринимательства на территории Ольховского муниципального района Волгоградской области, в соответствии с Бюджетным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Федеральным законом от 24.07.2007 г. № 209-ФЗ «О развитии малого и среднего предпринимательства в Российской Федерации», постановления Администрации Ольховского муниципального района от 25.11.2016</w:t>
      </w:r>
      <w:proofErr w:type="gramEnd"/>
      <w:r w:rsidRPr="00AE1835">
        <w:rPr>
          <w:rFonts w:ascii="Times New Roman" w:hAnsi="Times New Roman" w:cs="Times New Roman"/>
          <w:sz w:val="28"/>
          <w:szCs w:val="28"/>
        </w:rPr>
        <w:t xml:space="preserve"> г. № 702 «Об утверждении Порядка разработки, реализации и оценки </w:t>
      </w:r>
      <w:proofErr w:type="gramStart"/>
      <w:r w:rsidRPr="00AE1835">
        <w:rPr>
          <w:rFonts w:ascii="Times New Roman" w:hAnsi="Times New Roman" w:cs="Times New Roman"/>
          <w:sz w:val="28"/>
          <w:szCs w:val="28"/>
        </w:rPr>
        <w:t>эффективности реализации муниципальных программ Администрации Ольховского муниципального района Волгоградской области</w:t>
      </w:r>
      <w:proofErr w:type="gramEnd"/>
      <w:r w:rsidRPr="00AE1835">
        <w:rPr>
          <w:rFonts w:ascii="Times New Roman" w:hAnsi="Times New Roman" w:cs="Times New Roman"/>
          <w:sz w:val="28"/>
          <w:szCs w:val="28"/>
        </w:rPr>
        <w:t>»,</w:t>
      </w:r>
    </w:p>
    <w:p w:rsidR="00DA6049" w:rsidRPr="00AE1835" w:rsidRDefault="00DA6049" w:rsidP="00DA6049">
      <w:p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AE183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A6049" w:rsidRPr="00AE1835" w:rsidRDefault="00DA6049" w:rsidP="00DA6049">
      <w:pPr>
        <w:spacing w:after="0" w:line="240" w:lineRule="auto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835">
        <w:rPr>
          <w:rFonts w:ascii="Times New Roman" w:hAnsi="Times New Roman" w:cs="Times New Roman"/>
          <w:sz w:val="28"/>
          <w:szCs w:val="28"/>
        </w:rPr>
        <w:t>1.Утвердить муниципальную программу «Развитие и поддержка малого и среднего предпринимательства  в Ольховском муниципальном районе Волгоградской области на 2023-2025 годы»  согласно приложению №1.</w:t>
      </w:r>
    </w:p>
    <w:p w:rsidR="00DA6049" w:rsidRPr="00AE1835" w:rsidRDefault="00DA6049" w:rsidP="00DA6049">
      <w:pPr>
        <w:spacing w:after="0" w:line="240" w:lineRule="auto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835">
        <w:rPr>
          <w:rFonts w:ascii="Times New Roman" w:hAnsi="Times New Roman" w:cs="Times New Roman"/>
          <w:sz w:val="28"/>
          <w:szCs w:val="28"/>
        </w:rPr>
        <w:t>2.Финансирование расходов на реализацию муниципальной  программы «Развитие и поддержка малого и среднего предпринимательства в Ольховском муниципальном районе Волгоградской области на 2023-2025 годы» осуществлять в пределах средств, предусмотренных в муниципальном бюджете на соответствующий финансовый период.</w:t>
      </w:r>
    </w:p>
    <w:p w:rsidR="00DA6049" w:rsidRPr="00AE1835" w:rsidRDefault="00DA6049" w:rsidP="00DA6049">
      <w:pPr>
        <w:spacing w:after="0" w:line="240" w:lineRule="auto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83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E18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183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Ольховского муниципального района А.С.Коржова.</w:t>
      </w:r>
    </w:p>
    <w:p w:rsidR="00DA6049" w:rsidRPr="00AE1835" w:rsidRDefault="00DA6049" w:rsidP="00DA6049">
      <w:pPr>
        <w:spacing w:after="0" w:line="240" w:lineRule="auto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835">
        <w:rPr>
          <w:rFonts w:ascii="Times New Roman" w:hAnsi="Times New Roman" w:cs="Times New Roman"/>
          <w:sz w:val="28"/>
          <w:szCs w:val="28"/>
        </w:rPr>
        <w:t>4.Настоящее постановление вступает в силу с момента его официального обнародования.</w:t>
      </w:r>
    </w:p>
    <w:p w:rsidR="00DA6049" w:rsidRPr="00AE1835" w:rsidRDefault="00DA6049" w:rsidP="00DA6049">
      <w:p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DA6049" w:rsidRPr="00AE1835" w:rsidRDefault="00DA6049" w:rsidP="00DA6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049" w:rsidRPr="00AE1835" w:rsidRDefault="00DA6049" w:rsidP="00DA6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049" w:rsidRPr="00AE1835" w:rsidRDefault="00DA6049" w:rsidP="00DA6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835">
        <w:rPr>
          <w:rFonts w:ascii="Times New Roman" w:hAnsi="Times New Roman" w:cs="Times New Roman"/>
          <w:sz w:val="28"/>
          <w:szCs w:val="28"/>
        </w:rPr>
        <w:t xml:space="preserve"> Глава Ольховского</w:t>
      </w:r>
    </w:p>
    <w:p w:rsidR="00DA6049" w:rsidRPr="00AE1835" w:rsidRDefault="00DA6049" w:rsidP="00DA6049">
      <w:pPr>
        <w:spacing w:after="0" w:line="240" w:lineRule="auto"/>
        <w:ind w:right="-427"/>
        <w:rPr>
          <w:rFonts w:ascii="Times New Roman" w:hAnsi="Times New Roman" w:cs="Times New Roman"/>
          <w:sz w:val="28"/>
          <w:szCs w:val="28"/>
        </w:rPr>
      </w:pPr>
      <w:r w:rsidRPr="00AE1835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                                  А.В.Солонин    </w:t>
      </w:r>
    </w:p>
    <w:p w:rsidR="00DA6049" w:rsidRDefault="00DA6049" w:rsidP="00DA6049">
      <w:pPr>
        <w:rPr>
          <w:sz w:val="28"/>
          <w:szCs w:val="28"/>
        </w:rPr>
        <w:sectPr w:rsidR="00DA6049">
          <w:pgSz w:w="11906" w:h="16838"/>
          <w:pgMar w:top="1134" w:right="1559" w:bottom="1134" w:left="1276" w:header="709" w:footer="709" w:gutter="0"/>
          <w:cols w:space="720"/>
        </w:sectPr>
      </w:pPr>
    </w:p>
    <w:p w:rsidR="00DA6049" w:rsidRPr="002E60A1" w:rsidRDefault="00DA6049" w:rsidP="00DA6049">
      <w:pPr>
        <w:jc w:val="right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DA6049" w:rsidRPr="002E60A1" w:rsidRDefault="00DA6049" w:rsidP="00DA6049">
      <w:pPr>
        <w:jc w:val="right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DA6049" w:rsidRPr="002E60A1" w:rsidRDefault="00DA6049" w:rsidP="00DA6049">
      <w:pPr>
        <w:jc w:val="right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Ольховского муниципального района</w:t>
      </w:r>
    </w:p>
    <w:p w:rsidR="00DA6049" w:rsidRPr="002E60A1" w:rsidRDefault="00DA6049" w:rsidP="00DA6049">
      <w:pPr>
        <w:jc w:val="right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от 30.09.2022 года № 709</w:t>
      </w:r>
    </w:p>
    <w:p w:rsidR="00DA6049" w:rsidRPr="002E60A1" w:rsidRDefault="00DA6049" w:rsidP="00DA6049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jc w:val="center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Муниципальная программа «Развитие и поддержка малого и среднего предпринимательства  в Ольховском муниципальном районе Волгоградской области на 2023-2025 годы»</w:t>
      </w:r>
    </w:p>
    <w:p w:rsidR="00DA6049" w:rsidRPr="002E60A1" w:rsidRDefault="00DA6049" w:rsidP="00DA6049">
      <w:pPr>
        <w:jc w:val="center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 xml:space="preserve"> Паспорт муниципальной  программы Администрации Ольховского муниципального района Волгоградской области</w:t>
      </w:r>
    </w:p>
    <w:tbl>
      <w:tblPr>
        <w:tblW w:w="153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261"/>
        <w:gridCol w:w="12105"/>
      </w:tblGrid>
      <w:tr w:rsidR="00DA6049" w:rsidRPr="002E60A1" w:rsidTr="001E2116">
        <w:trPr>
          <w:trHeight w:val="1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Ответственный исполнитель   муниципальной  программы</w:t>
            </w:r>
          </w:p>
        </w:tc>
        <w:tc>
          <w:tcPr>
            <w:tcW w:w="1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Отдел экономики и управления имуществом Администрации Ольховского муниципального района Волгоградской области</w:t>
            </w:r>
          </w:p>
        </w:tc>
      </w:tr>
      <w:tr w:rsidR="00DA6049" w:rsidRPr="002E60A1" w:rsidTr="001E2116">
        <w:trPr>
          <w:trHeight w:val="1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Соисполнители  муниципальной  программы</w:t>
            </w:r>
          </w:p>
        </w:tc>
        <w:tc>
          <w:tcPr>
            <w:tcW w:w="1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Отдел по образованию и молодежной политике Администрации Ольховского муниципального   района Волгоградской области</w:t>
            </w:r>
          </w:p>
        </w:tc>
      </w:tr>
      <w:tr w:rsidR="00DA6049" w:rsidRPr="002E60A1" w:rsidTr="001E2116">
        <w:trPr>
          <w:trHeight w:val="1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Подпрограммы муниципальной программы</w:t>
            </w:r>
          </w:p>
        </w:tc>
        <w:tc>
          <w:tcPr>
            <w:tcW w:w="1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Отсутствуют</w:t>
            </w:r>
          </w:p>
        </w:tc>
      </w:tr>
      <w:tr w:rsidR="00DA6049" w:rsidRPr="002E60A1" w:rsidTr="001E2116">
        <w:trPr>
          <w:trHeight w:val="1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Цели муниципальной  программы</w:t>
            </w:r>
          </w:p>
        </w:tc>
        <w:tc>
          <w:tcPr>
            <w:tcW w:w="1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Обеспечение благоприятных условий для развития малого и среднего предпринимательства, вовлечение граждан в предпринимательскую деятельность и повышение его вклада в социально-экономическое развитие Ольховского муниципального района Волгоградской области.</w:t>
            </w:r>
          </w:p>
        </w:tc>
      </w:tr>
      <w:tr w:rsidR="00DA6049" w:rsidRPr="002E60A1" w:rsidTr="001E2116">
        <w:trPr>
          <w:trHeight w:val="1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Задачи  муниципальной  программы</w:t>
            </w:r>
          </w:p>
        </w:tc>
        <w:tc>
          <w:tcPr>
            <w:tcW w:w="1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-своевременное информирование и повышение квалификации субъектов малого и среднего предпринимательства; </w:t>
            </w:r>
          </w:p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содействие формированию положительного имиджа малого и среднего предпринимательства;  </w:t>
            </w:r>
          </w:p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вовлечение молодежи в сферу предпринимательства;</w:t>
            </w:r>
          </w:p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развитие системы информационной поддержки субъектов малого и среднего предпринимательства;</w:t>
            </w:r>
          </w:p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развитие системы имущественной поддержки субъектов малого и среднего предпринимательства;</w:t>
            </w:r>
          </w:p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совершенствование льготного порядка предоставления имущества в аренду;</w:t>
            </w:r>
          </w:p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- совершенствование нормативных правовых актов, регулирующих деятельность субъектов малого и среднего предпринимательства;</w:t>
            </w:r>
          </w:p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обеспечение занятости населения и развитие самозанятости.</w:t>
            </w:r>
          </w:p>
        </w:tc>
      </w:tr>
      <w:tr w:rsidR="00DA6049" w:rsidRPr="002E60A1" w:rsidTr="001E2116">
        <w:trPr>
          <w:trHeight w:val="1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1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семинаров, конференций, круглых столов, и заседаний координационного совета по развитию малого и среднего предпринимательства и развитию конкуренции: 2023 г. - 6; 2024 г. - 8; 2025 г. - 12.</w:t>
            </w:r>
          </w:p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Публикация информации по вопросам предпринимательства во вкладке «Предпринимательство» официального сайта администрации Ольховского муниципального района Волгоградской области и в средствах массовой информации: 2023 г. - 12; 2024 г. - 14; 2025 г. - 16.</w:t>
            </w:r>
          </w:p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конкурсов среди предпринимателей не менее одного в год;</w:t>
            </w:r>
          </w:p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конкурсов, деловых игр, открытых уроков для школьников по основам предпринимательства не менее одного в год;</w:t>
            </w:r>
          </w:p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Вручение грамот в связи с празднованием Дня предпринимателя, Дня работников торговли и других отраслевых праздников, к каждой профессиональной праздничной дате предпринимателей по отраслям.</w:t>
            </w:r>
          </w:p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Предоставление в аренду муниципального имущества субъектам малого и среднего предпринимательства осуществляющим социально - значимые виды деятельности и услуги населению, а так же приоритетные виды деятельности, в соответствии со ст. 17.1, 19  № 135 –ФЗ «О защите конкуренции»  от 26.07.2006 г. не менее одного в год. </w:t>
            </w:r>
          </w:p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</w:t>
            </w:r>
            <w:r w:rsidRPr="002E60A1">
              <w:rPr>
                <w:rFonts w:ascii="Times New Roman" w:hAnsi="Times New Roman" w:cs="Times New Roman"/>
                <w:sz w:val="20"/>
                <w:szCs w:val="20"/>
              </w:rPr>
              <w:t>оличество самозанятых граждан, зафиксировавших свой статус с учетом введения налогового режима для самозанятых.</w:t>
            </w:r>
          </w:p>
        </w:tc>
      </w:tr>
      <w:tr w:rsidR="00DA6049" w:rsidRPr="002E60A1" w:rsidTr="001E2116">
        <w:trPr>
          <w:trHeight w:val="1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Сроки и этапы реализации муниципальной программы</w:t>
            </w:r>
          </w:p>
        </w:tc>
        <w:tc>
          <w:tcPr>
            <w:tcW w:w="1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Реализация Программы рассчитана на 2023–2025 годы, будет осуществляться в один этап.</w:t>
            </w:r>
          </w:p>
        </w:tc>
      </w:tr>
      <w:tr w:rsidR="00DA6049" w:rsidRPr="002E60A1" w:rsidTr="001E2116">
        <w:trPr>
          <w:trHeight w:val="1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Объемы и источники финансирования</w:t>
            </w:r>
          </w:p>
        </w:tc>
        <w:tc>
          <w:tcPr>
            <w:tcW w:w="1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Финансирование программы осуществляется за счет средств бюджета Ольховского муниципального района. Общий объем ассигнований по финансированию программы на 2023-2025 годы из районного бюджета составит 28,5 тыс. рублей, в том числе:</w:t>
            </w:r>
          </w:p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1) в 2023 году – 9,5 тыс. руб.</w:t>
            </w:r>
          </w:p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2) в 2024 году –  9,5 тыс. руб.</w:t>
            </w:r>
          </w:p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3) в 2025 году –  9,5 тыс. руб.</w:t>
            </w:r>
          </w:p>
        </w:tc>
      </w:tr>
      <w:tr w:rsidR="00DA6049" w:rsidRPr="002E60A1" w:rsidTr="001E2116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Ожидаемые результаты реализации муниципальной программы</w:t>
            </w:r>
          </w:p>
        </w:tc>
        <w:tc>
          <w:tcPr>
            <w:tcW w:w="1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Реализация Программы приведет к следующим положительным результатам:</w:t>
            </w:r>
          </w:p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повысит информированность субъектов малого и среднего предпринимательства (в том числе  о способах и мерах государственной и муниципальной поддержки), что будет способствовать повышению квалификации и развитию  сферы малого и среднего </w:t>
            </w: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предпринимательства;</w:t>
            </w:r>
          </w:p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совершенствование льготного порядка предоставления имущества в аренду</w:t>
            </w:r>
          </w:p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повышение социального статуса и престижа предпринимательства;</w:t>
            </w:r>
          </w:p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популяризация предпринимательской деятельности и вовлечение молодежи в сферу предпринимательства</w:t>
            </w:r>
          </w:p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улучшение внешней среды  развития малого и среднего предпринимательства и взаимодействие с органами местного самоуправления.</w:t>
            </w:r>
          </w:p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-устранение административных барьеров, препятствующих развитию субъекта малого и среднего предпринимательства</w:t>
            </w:r>
            <w:r w:rsidRPr="002E60A1">
              <w:rPr>
                <w:rFonts w:ascii="Times New Roman" w:hAnsi="Times New Roman" w:cs="Times New Roman"/>
                <w:color w:val="303F50"/>
                <w:sz w:val="20"/>
                <w:szCs w:val="20"/>
                <w:lang w:eastAsia="en-US"/>
              </w:rPr>
              <w:t>.</w:t>
            </w:r>
          </w:p>
        </w:tc>
      </w:tr>
    </w:tbl>
    <w:p w:rsidR="00DA6049" w:rsidRPr="002E60A1" w:rsidRDefault="00DA6049" w:rsidP="00DA6049">
      <w:pPr>
        <w:rPr>
          <w:rFonts w:ascii="Times New Roman" w:hAnsi="Times New Roman" w:cs="Times New Roman"/>
          <w:sz w:val="20"/>
          <w:szCs w:val="20"/>
        </w:rPr>
        <w:sectPr w:rsidR="00DA6049" w:rsidRPr="002E60A1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DA6049" w:rsidRPr="002E60A1" w:rsidRDefault="00DA6049" w:rsidP="00DA6049">
      <w:pPr>
        <w:jc w:val="center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lastRenderedPageBreak/>
        <w:t xml:space="preserve">Раздел 1. Общая характеристика сферы </w:t>
      </w:r>
    </w:p>
    <w:p w:rsidR="00DA6049" w:rsidRPr="002E60A1" w:rsidRDefault="00DA6049" w:rsidP="00DA6049">
      <w:pPr>
        <w:jc w:val="center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реализации муниципальной программы.</w:t>
      </w:r>
    </w:p>
    <w:p w:rsidR="00DA6049" w:rsidRPr="002E60A1" w:rsidRDefault="00DA6049" w:rsidP="00DA6049">
      <w:pPr>
        <w:ind w:left="426" w:right="326"/>
        <w:jc w:val="center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Малое и среднее предпринимательство играет важную роль в решении экономических и социальных задач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муниципального района и стабильность налоговых поступлений. Решение задач социальной и экономической направленности ставит вопрос развития субъектов малого и среднего предпринимательства в ряд важнейших задач, делает их частью экономической политики муниципального района.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 xml:space="preserve">По состоянию на 01.01.2022 г. на территории района осуществляет свою деятельность 239 субъектов малого и среднего  предпринимательства: из них 193 индивидуальных предпринимателей и 46 глав крестьянских (фермерских) хозяйств. 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Предпринимательство занимает прочное место в экономике муниципального образования и охватывает отрасли: перерабатывающего производства, торговли, сельского хозяйства, сферы услуг. На территории района осуществляют свою деятельность:</w:t>
      </w:r>
    </w:p>
    <w:p w:rsidR="00DA6049" w:rsidRPr="002E60A1" w:rsidRDefault="00DA6049" w:rsidP="00DA604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E60A1">
        <w:rPr>
          <w:rFonts w:ascii="Times New Roman" w:hAnsi="Times New Roman"/>
          <w:sz w:val="20"/>
          <w:szCs w:val="20"/>
        </w:rPr>
        <w:t xml:space="preserve">- сельское, лесное хозяйство, охота, рыболовство и рыбоводство – 65 ед. </w:t>
      </w:r>
    </w:p>
    <w:p w:rsidR="00DA6049" w:rsidRPr="002E60A1" w:rsidRDefault="00DA6049" w:rsidP="00DA6049">
      <w:pPr>
        <w:pStyle w:val="a3"/>
        <w:tabs>
          <w:tab w:val="left" w:pos="633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E60A1">
        <w:rPr>
          <w:rFonts w:ascii="Times New Roman" w:hAnsi="Times New Roman"/>
          <w:sz w:val="20"/>
          <w:szCs w:val="20"/>
        </w:rPr>
        <w:t>- обрабатывающие производства – 4 ед.</w:t>
      </w:r>
      <w:r w:rsidRPr="002E60A1">
        <w:rPr>
          <w:rFonts w:ascii="Times New Roman" w:hAnsi="Times New Roman"/>
          <w:sz w:val="20"/>
          <w:szCs w:val="20"/>
        </w:rPr>
        <w:tab/>
      </w:r>
    </w:p>
    <w:p w:rsidR="00DA6049" w:rsidRPr="002E60A1" w:rsidRDefault="00DA6049" w:rsidP="00DA604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E60A1">
        <w:rPr>
          <w:rFonts w:ascii="Times New Roman" w:hAnsi="Times New Roman"/>
          <w:sz w:val="20"/>
          <w:szCs w:val="20"/>
        </w:rPr>
        <w:t>- строительство –7 ед.</w:t>
      </w:r>
    </w:p>
    <w:p w:rsidR="00DA6049" w:rsidRPr="002E60A1" w:rsidRDefault="00DA6049" w:rsidP="00DA604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E60A1">
        <w:rPr>
          <w:rFonts w:ascii="Times New Roman" w:hAnsi="Times New Roman"/>
          <w:sz w:val="20"/>
          <w:szCs w:val="20"/>
        </w:rPr>
        <w:t>- торговля оптовая и розничная; ремонт автотранспортных средств и мотоциклов – 95 ед.</w:t>
      </w:r>
    </w:p>
    <w:p w:rsidR="00DA6049" w:rsidRPr="002E60A1" w:rsidRDefault="00DA6049" w:rsidP="00DA604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E60A1">
        <w:rPr>
          <w:rFonts w:ascii="Times New Roman" w:hAnsi="Times New Roman"/>
          <w:sz w:val="20"/>
          <w:szCs w:val="20"/>
        </w:rPr>
        <w:t>- транспортировка и хранение – 36 ед.</w:t>
      </w:r>
    </w:p>
    <w:p w:rsidR="00DA6049" w:rsidRPr="002E60A1" w:rsidRDefault="00DA6049" w:rsidP="00DA604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E60A1">
        <w:rPr>
          <w:rFonts w:ascii="Times New Roman" w:hAnsi="Times New Roman"/>
          <w:sz w:val="20"/>
          <w:szCs w:val="20"/>
        </w:rPr>
        <w:t>- деятельность гостиниц и предприятий общественного питания – 3 ед.</w:t>
      </w:r>
    </w:p>
    <w:p w:rsidR="00DA6049" w:rsidRPr="002E60A1" w:rsidRDefault="00DA6049" w:rsidP="00DA604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E60A1">
        <w:rPr>
          <w:rFonts w:ascii="Times New Roman" w:hAnsi="Times New Roman"/>
          <w:sz w:val="20"/>
          <w:szCs w:val="20"/>
        </w:rPr>
        <w:t>- деятельность в области информации и связи – 2 ед.</w:t>
      </w:r>
    </w:p>
    <w:p w:rsidR="00DA6049" w:rsidRPr="002E60A1" w:rsidRDefault="00DA6049" w:rsidP="00DA604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E60A1">
        <w:rPr>
          <w:rFonts w:ascii="Times New Roman" w:hAnsi="Times New Roman"/>
          <w:sz w:val="20"/>
          <w:szCs w:val="20"/>
        </w:rPr>
        <w:t>- деятельность по операциям с недвижимым имуществом – 2 ед.</w:t>
      </w:r>
    </w:p>
    <w:p w:rsidR="00DA6049" w:rsidRPr="002E60A1" w:rsidRDefault="00DA6049" w:rsidP="00DA604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E60A1">
        <w:rPr>
          <w:rFonts w:ascii="Times New Roman" w:hAnsi="Times New Roman"/>
          <w:sz w:val="20"/>
          <w:szCs w:val="20"/>
        </w:rPr>
        <w:t>- деятельность профессиональная, научная и техническая – 5 ед.</w:t>
      </w:r>
    </w:p>
    <w:p w:rsidR="00DA6049" w:rsidRPr="002E60A1" w:rsidRDefault="00DA6049" w:rsidP="00DA604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E60A1">
        <w:rPr>
          <w:rFonts w:ascii="Times New Roman" w:hAnsi="Times New Roman"/>
          <w:sz w:val="20"/>
          <w:szCs w:val="20"/>
        </w:rPr>
        <w:t>- деятельность административная и сопутствующие дополнительные услуги – 2 ед.</w:t>
      </w:r>
    </w:p>
    <w:p w:rsidR="00DA6049" w:rsidRPr="002E60A1" w:rsidRDefault="00DA6049" w:rsidP="00DA604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E60A1">
        <w:rPr>
          <w:rFonts w:ascii="Times New Roman" w:hAnsi="Times New Roman"/>
          <w:sz w:val="20"/>
          <w:szCs w:val="20"/>
        </w:rPr>
        <w:t>- деятельность в области здравоохранения и социальных услуг – 6 ед.</w:t>
      </w:r>
    </w:p>
    <w:p w:rsidR="00DA6049" w:rsidRPr="002E60A1" w:rsidRDefault="00DA6049" w:rsidP="00DA604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E60A1">
        <w:rPr>
          <w:rFonts w:ascii="Times New Roman" w:hAnsi="Times New Roman"/>
          <w:sz w:val="20"/>
          <w:szCs w:val="20"/>
        </w:rPr>
        <w:t>- предоставление прочих видов услуг – 8 ед.</w:t>
      </w:r>
    </w:p>
    <w:p w:rsidR="00DA6049" w:rsidRPr="002E60A1" w:rsidRDefault="00DA6049" w:rsidP="00DA604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E60A1">
        <w:rPr>
          <w:rFonts w:ascii="Times New Roman" w:hAnsi="Times New Roman"/>
          <w:sz w:val="20"/>
          <w:szCs w:val="20"/>
        </w:rPr>
        <w:t xml:space="preserve">- </w:t>
      </w:r>
      <w:hyperlink r:id="rId4" w:history="1">
        <w:r w:rsidRPr="002E60A1">
          <w:rPr>
            <w:rStyle w:val="a5"/>
            <w:rFonts w:ascii="Times New Roman" w:hAnsi="Times New Roman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>деятельность финансовая и страховая</w:t>
        </w:r>
      </w:hyperlink>
      <w:r w:rsidRPr="002E60A1">
        <w:rPr>
          <w:rFonts w:ascii="Times New Roman" w:hAnsi="Times New Roman"/>
          <w:sz w:val="20"/>
          <w:szCs w:val="20"/>
        </w:rPr>
        <w:t xml:space="preserve"> – 1 ед.</w:t>
      </w:r>
    </w:p>
    <w:p w:rsidR="00DA6049" w:rsidRPr="002E60A1" w:rsidRDefault="00DA6049" w:rsidP="00DA6049">
      <w:pPr>
        <w:pStyle w:val="1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 xml:space="preserve">- </w:t>
      </w:r>
      <w:r w:rsidRPr="002E60A1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образование – 2 ед.</w:t>
      </w:r>
    </w:p>
    <w:p w:rsidR="00DA6049" w:rsidRPr="002E60A1" w:rsidRDefault="00DA6049" w:rsidP="00DA6049">
      <w:pPr>
        <w:pStyle w:val="1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  <w:r w:rsidRPr="002E60A1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- водоснабжение; водоотведение, организация сбора и утилизации отходов, деятельность по ликвидации загрязнений – 1 ед.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Достигнутый уровень развития малого и среднего предпринимательства в муниципальном районе недостаточен с точки зрения требований рыночной экономики для обеспечения устойчивости и необратимости позитивных изменений. Необходима дальнейшая реализация механизмов государственной и муниципальной поддержки малого и среднего предпринимательства в муниципальном районе.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Раздел 2. Цели, задачи, сроки и этапы реализации муниципальной программы.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Основной целью муниципальной  программы является обеспечение благоприятных условий для развития малого и среднего предпринимательства и повышение его вклада в социально-экономическое развитие Ольховского муниципального района Волгоградской области.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Для достижения указанной цели необходимо решение следующих задач: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 xml:space="preserve">- своевременное информирование и повышение квалификации субъектов малого и среднего предпринимательства; 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 xml:space="preserve">- содействие формированию положительного имиджа малого и среднего предпринимательства;  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lastRenderedPageBreak/>
        <w:t>- вовлечение молодежи в сферу предпринимательства;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- развитие системы информационной поддержки субъектов малого и среднего предпринимательства;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- развитие системы имущественной поддержки субъектов малого и среднего предпринимательства;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- совершенствование льготного порядка предоставления имущества в аренду;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- совершенствование нормативных правовых актов, регулирующих деятельность субъектов малого и среднего предпринимательства;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 xml:space="preserve">- </w:t>
      </w:r>
      <w:r w:rsidRPr="002E60A1">
        <w:rPr>
          <w:rFonts w:ascii="Times New Roman" w:hAnsi="Times New Roman" w:cs="Times New Roman"/>
          <w:sz w:val="20"/>
          <w:szCs w:val="20"/>
          <w:lang w:eastAsia="en-US"/>
        </w:rPr>
        <w:t>обеспечение занятости населения и развитие самозанятости.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Реализация Программы рассчитана на 2023-2025 годы, осуществляется в один этап.</w:t>
      </w:r>
    </w:p>
    <w:p w:rsidR="00DA6049" w:rsidRPr="002E60A1" w:rsidRDefault="00DA6049" w:rsidP="00DA60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jc w:val="center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Раздел 3. Целевые показатели достижения целей и решения задач, ожидаемые конечные результаты реализации муниципальной  программы.</w:t>
      </w:r>
    </w:p>
    <w:p w:rsidR="00DA6049" w:rsidRPr="002E60A1" w:rsidRDefault="00DA6049" w:rsidP="00DA604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Реализация программы в полном объеме и достижение соответствующих показателей позволит: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 xml:space="preserve">1. Организовать своевременное информирование по развитию субъектов малого и среднего предпринимательства; 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 xml:space="preserve">2. Организовать своевременное информирование по вопросам предпринимательства субъектов малого и среднего предпринимательства; 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3. Организовать своевременное информирование о предоставлении в аренду муниципального имущества субъектам малого и среднего предпринимательства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Целевые показатели достижения целей и задач, ожидаемые конечные результаты реализации муниципальной программы отображены в таблице № 1.</w:t>
      </w:r>
    </w:p>
    <w:p w:rsidR="00DA6049" w:rsidRPr="002E60A1" w:rsidRDefault="00DA6049" w:rsidP="00DA60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jc w:val="right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lastRenderedPageBreak/>
        <w:t>Таблица №1</w:t>
      </w:r>
    </w:p>
    <w:p w:rsidR="00DA6049" w:rsidRPr="002E60A1" w:rsidRDefault="00DA6049" w:rsidP="00DA6049">
      <w:pPr>
        <w:tabs>
          <w:tab w:val="right" w:pos="9638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ПЕРЕЧЕНЬ</w:t>
      </w:r>
    </w:p>
    <w:p w:rsidR="00DA6049" w:rsidRPr="002E60A1" w:rsidRDefault="00DA6049" w:rsidP="00DA6049">
      <w:pPr>
        <w:tabs>
          <w:tab w:val="right" w:pos="9638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целевых показателей муниципальной программы Администрации Ольховского муниципального района Волгоградской области</w:t>
      </w:r>
    </w:p>
    <w:p w:rsidR="00DA6049" w:rsidRPr="002E60A1" w:rsidRDefault="00DA6049" w:rsidP="00DA6049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8"/>
        <w:gridCol w:w="4252"/>
        <w:gridCol w:w="708"/>
        <w:gridCol w:w="709"/>
        <w:gridCol w:w="707"/>
        <w:gridCol w:w="994"/>
        <w:gridCol w:w="992"/>
        <w:gridCol w:w="993"/>
      </w:tblGrid>
      <w:tr w:rsidR="00DA6049" w:rsidRPr="002E60A1" w:rsidTr="001E2116">
        <w:trPr>
          <w:trHeight w:val="44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целевого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Значения целевых показателей</w:t>
            </w:r>
          </w:p>
        </w:tc>
      </w:tr>
      <w:tr w:rsidR="00DA6049" w:rsidRPr="002E60A1" w:rsidTr="001E2116">
        <w:trPr>
          <w:cantSplit/>
          <w:trHeight w:val="1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049" w:rsidRPr="002E60A1" w:rsidRDefault="00DA6049" w:rsidP="001E211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049" w:rsidRPr="002E60A1" w:rsidRDefault="00DA6049" w:rsidP="001E211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049" w:rsidRPr="002E60A1" w:rsidRDefault="00DA6049" w:rsidP="001E211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Базовый год (отчетный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Текущий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Первый год реализации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Второй год реализации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Третий год реализации программы</w:t>
            </w:r>
          </w:p>
        </w:tc>
      </w:tr>
      <w:tr w:rsidR="00DA6049" w:rsidRPr="002E60A1" w:rsidTr="001E2116">
        <w:trPr>
          <w:trHeight w:val="2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</w:tr>
      <w:tr w:rsidR="00DA6049" w:rsidRPr="002E60A1" w:rsidTr="001E2116">
        <w:trPr>
          <w:trHeight w:val="4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Проведение семинаров, конференций, круглых столов, и заседаний координационного совета по развитию малого и среднего предпринимательства и развитию конкуренции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DA6049" w:rsidRPr="002E60A1" w:rsidTr="001E2116">
        <w:trPr>
          <w:trHeight w:val="8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Публикация информации по вопросам предпринимательства во вкладке «Предпринимательство» официального сайта администрации Ольховского муниципального района Волгоградской области и в средствах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</w:tr>
      <w:tr w:rsidR="00DA6049" w:rsidRPr="002E60A1" w:rsidTr="001E2116">
        <w:trPr>
          <w:trHeight w:val="2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конкурсов среди предпринимателей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DA6049" w:rsidRPr="002E60A1" w:rsidTr="001E2116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конкурсов, деловых игр, открытых уроков для школьников по основам предпринимательства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DA6049" w:rsidRPr="002E60A1" w:rsidTr="001E2116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Вручение грамот в связи с празднованием Дня предпринимателя, Дня работников торговли и других отраслевых праздников, к каждой праздничной дате.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</w:tr>
      <w:tr w:rsidR="00DA6049" w:rsidRPr="002E60A1" w:rsidTr="001E2116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Предоставление в аренду муниципального имущества субъектам малого и среднего предпринимательства осуществляющим социально - значимые виды деятельности и услуги населению, а так же приоритетные виды деятельности, в соответствии со ст. 17.1, 19  № 135 –ФЗ «О защите конкуренции»  от 26.07.2006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DA6049" w:rsidRPr="002E60A1" w:rsidTr="001E2116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самозанятых граждан, зафиксировавших свой статус с учетом введения налогового режима для самозанятых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</w:tbl>
    <w:p w:rsidR="00DA6049" w:rsidRPr="002E60A1" w:rsidRDefault="00DA6049" w:rsidP="00DA60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lastRenderedPageBreak/>
        <w:t>Информация о действиях муниципальной программы размещается на официальном сайте Администрации Ольховского муниципального района.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 xml:space="preserve">Имущественная поддержка осуществляется из сформированного перечня муниципального имущества,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в установленном порядке. </w:t>
      </w:r>
    </w:p>
    <w:p w:rsidR="00DA6049" w:rsidRPr="002E60A1" w:rsidRDefault="00DA6049" w:rsidP="00DA604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jc w:val="center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 xml:space="preserve">Раздел 4.Обобщенная характеристика </w:t>
      </w:r>
      <w:proofErr w:type="gramStart"/>
      <w:r w:rsidRPr="002E60A1">
        <w:rPr>
          <w:rFonts w:ascii="Times New Roman" w:hAnsi="Times New Roman" w:cs="Times New Roman"/>
          <w:sz w:val="20"/>
          <w:szCs w:val="20"/>
        </w:rPr>
        <w:t>основных</w:t>
      </w:r>
      <w:proofErr w:type="gramEnd"/>
      <w:r w:rsidRPr="002E60A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A6049" w:rsidRPr="002E60A1" w:rsidRDefault="00DA6049" w:rsidP="00DA6049">
      <w:pPr>
        <w:jc w:val="center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мероприятий муниципальной программы.</w:t>
      </w:r>
    </w:p>
    <w:p w:rsidR="00DA6049" w:rsidRPr="002E60A1" w:rsidRDefault="00DA6049" w:rsidP="00DA604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60A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Программный комплекс направлен </w:t>
      </w:r>
      <w:r w:rsidRPr="002E60A1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на </w:t>
      </w:r>
      <w:r w:rsidRPr="002E60A1">
        <w:rPr>
          <w:rFonts w:ascii="Times New Roman" w:hAnsi="Times New Roman" w:cs="Times New Roman"/>
          <w:color w:val="000000" w:themeColor="text1"/>
          <w:sz w:val="20"/>
          <w:szCs w:val="20"/>
        </w:rPr>
        <w:t>развитие малого и среднего предпринимательства в Ольховском муниципальном районе путем реализации следующих мероприятий: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60A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2E60A1">
        <w:rPr>
          <w:rFonts w:ascii="Times New Roman" w:hAnsi="Times New Roman" w:cs="Times New Roman"/>
          <w:color w:val="000000" w:themeColor="text1"/>
          <w:sz w:val="20"/>
          <w:szCs w:val="20"/>
        </w:rPr>
        <w:t>1.Расширение  информационной поддержки субъектов малого и среднего предпринимательства путем организации и проведения конференций, семинаров, совещаний, круглых столов по вопросам предпринимательской деятельности, заседаний координационного совета по развитию малого и среднего предпринимательства и развитию конкуренции на территории Ольховского муниципального района Волгоградской области, что позволит повысить информированность субъектов малого и среднего предпринимательства (в том числе  о способах и мерах государственной и муниципальной</w:t>
      </w:r>
      <w:proofErr w:type="gramEnd"/>
      <w:r w:rsidRPr="002E60A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поддержки) и будет способствовать повышению квалификации и развитию  сферы малого и среднего предпринимательства.  Информирование и разъяснение субъектам малого и среднего предпринимательства действия нормативно-правовых актов в сфере предпринимательской деятельности позволит устранить административные барьеры, препятствующие развитию субъектов малого и среднего предпринимательства. Данная мера приведет к улучшению внешней среды развития малого и среднего предпринимательства и взаимодействие с органами местного самоуправления.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E60A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2.Оказание имущественной поддержки субъектов малого и среднего предпринимательства путем расширения перечня имущества, предоставляемого субъектам малого и среднего предпринимательства на льготных условиях, а также </w:t>
      </w:r>
      <w:r w:rsidRPr="002E60A1">
        <w:rPr>
          <w:rFonts w:ascii="Times New Roman" w:hAnsi="Times New Roman" w:cs="Times New Roman"/>
          <w:sz w:val="20"/>
          <w:szCs w:val="20"/>
        </w:rPr>
        <w:t>предоставление в аренду муниципального имущества субъектам малого и среднего предпринимательства осуществляющим социально - значимые виды деятельности и услуги населению, а так же приоритетные виды деятельности, в соответствии со ст. 17.1, 19  № 135–ФЗ «О защите конкуренции»  от 26.07.2006</w:t>
      </w:r>
      <w:proofErr w:type="gramEnd"/>
      <w:r w:rsidRPr="002E60A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E60A1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2E60A1">
        <w:rPr>
          <w:rFonts w:ascii="Times New Roman" w:hAnsi="Times New Roman" w:cs="Times New Roman"/>
          <w:sz w:val="20"/>
          <w:szCs w:val="20"/>
        </w:rPr>
        <w:t>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3.</w:t>
      </w:r>
      <w:r w:rsidRPr="002E60A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Популяризация предпринимательской деятельности и вовлечение молодежи в сферу предпринимательства путем организации и проведения конкурсов среди предпринимателей, что поспособствует повышению социального статуса и престижа предпринимательства, а также организация и проведение конкурсов, деловых игр, открытых уроков для школьников по основам предпринимательства.  Перечень мероприятий муниципальной программы представлен в таблице № 2. 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rPr>
          <w:rFonts w:ascii="Times New Roman" w:hAnsi="Times New Roman" w:cs="Times New Roman"/>
          <w:sz w:val="20"/>
          <w:szCs w:val="20"/>
        </w:rPr>
        <w:sectPr w:rsidR="00DA6049" w:rsidRPr="002E60A1">
          <w:pgSz w:w="11906" w:h="16838"/>
          <w:pgMar w:top="1134" w:right="1134" w:bottom="1134" w:left="1134" w:header="708" w:footer="708" w:gutter="0"/>
          <w:cols w:space="720"/>
        </w:sectPr>
      </w:pPr>
    </w:p>
    <w:p w:rsidR="00DA6049" w:rsidRPr="002E60A1" w:rsidRDefault="00DA6049" w:rsidP="00DA6049">
      <w:pPr>
        <w:jc w:val="right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lastRenderedPageBreak/>
        <w:t>Таблица №2.</w:t>
      </w:r>
    </w:p>
    <w:p w:rsidR="00DA6049" w:rsidRPr="002E60A1" w:rsidRDefault="00DA6049" w:rsidP="00DA6049">
      <w:pPr>
        <w:tabs>
          <w:tab w:val="right" w:pos="9638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 xml:space="preserve">Перечень мероприятий муниципальной программы Администрации </w:t>
      </w:r>
    </w:p>
    <w:p w:rsidR="00DA6049" w:rsidRPr="002E60A1" w:rsidRDefault="00DA6049" w:rsidP="00DA6049">
      <w:pPr>
        <w:tabs>
          <w:tab w:val="right" w:pos="9638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Ольховского муниципального района Волгоградской области.</w:t>
      </w:r>
    </w:p>
    <w:tbl>
      <w:tblPr>
        <w:tblW w:w="15285" w:type="dxa"/>
        <w:tblLayout w:type="fixed"/>
        <w:tblLook w:val="04A0"/>
      </w:tblPr>
      <w:tblGrid>
        <w:gridCol w:w="675"/>
        <w:gridCol w:w="4111"/>
        <w:gridCol w:w="153"/>
        <w:gridCol w:w="2592"/>
        <w:gridCol w:w="801"/>
        <w:gridCol w:w="848"/>
        <w:gridCol w:w="851"/>
        <w:gridCol w:w="709"/>
        <w:gridCol w:w="57"/>
        <w:gridCol w:w="651"/>
        <w:gridCol w:w="202"/>
        <w:gridCol w:w="793"/>
        <w:gridCol w:w="2842"/>
      </w:tblGrid>
      <w:tr w:rsidR="00DA6049" w:rsidRPr="002E60A1" w:rsidTr="001E2116">
        <w:trPr>
          <w:trHeight w:val="1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2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Наименование основного </w:t>
            </w:r>
          </w:p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мероприятия, мероприятия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A6049" w:rsidRPr="002E60A1" w:rsidRDefault="00DA6049" w:rsidP="001E2116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A6049" w:rsidRPr="002E60A1" w:rsidRDefault="00DA6049" w:rsidP="001E2116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4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Объем и источники финансирования (тыс. рублей)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049" w:rsidRPr="002E60A1" w:rsidRDefault="00DA6049" w:rsidP="001E2116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Непосредственные результаты реализации мероприятия</w:t>
            </w:r>
          </w:p>
        </w:tc>
      </w:tr>
      <w:tr w:rsidR="00DA6049" w:rsidRPr="002E60A1" w:rsidTr="001E2116">
        <w:trPr>
          <w:trHeight w:val="11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A6049" w:rsidRPr="002E60A1" w:rsidRDefault="00DA6049" w:rsidP="001E2116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cantSplit/>
          <w:trHeight w:val="110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A6049" w:rsidRPr="002E60A1" w:rsidRDefault="00DA6049" w:rsidP="001E2116">
            <w:pPr>
              <w:ind w:left="57" w:right="57" w:firstLine="15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A6049" w:rsidRPr="002E60A1" w:rsidRDefault="00DA6049" w:rsidP="001E2116">
            <w:pPr>
              <w:ind w:left="57" w:right="57" w:firstLine="15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A6049" w:rsidRPr="002E60A1" w:rsidRDefault="00DA6049" w:rsidP="001E2116">
            <w:pPr>
              <w:ind w:left="57" w:right="57" w:firstLine="15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A6049" w:rsidRPr="002E60A1" w:rsidRDefault="00DA6049" w:rsidP="001E2116">
            <w:pPr>
              <w:ind w:left="57" w:right="57" w:firstLine="15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1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DA6049" w:rsidRPr="002E60A1" w:rsidTr="001E2116">
        <w:trPr>
          <w:trHeight w:val="276"/>
        </w:trPr>
        <w:tc>
          <w:tcPr>
            <w:tcW w:w="152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1. </w:t>
            </w:r>
            <w:r w:rsidRPr="002E6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Расширение  информационной поддержки субъектов малого и среднего предпринимательства</w:t>
            </w:r>
          </w:p>
        </w:tc>
      </w:tr>
      <w:tr w:rsidR="00DA6049" w:rsidRPr="002E60A1" w:rsidTr="001E2116">
        <w:trPr>
          <w:trHeight w:val="57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организация и проведение конференций, семинаров, совещаний, круглых столов по вопросам предпринимательской деятельности, заседаний координационного Совета по развитию малого и среднего предпринимательства и развитию конкуренции на территории Ольховского муниципального района Волгоградской области</w:t>
            </w:r>
          </w:p>
        </w:tc>
        <w:tc>
          <w:tcPr>
            <w:tcW w:w="2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отдел экономики и управления имуществом Администрации Ольховского муниципального района Волгоградской области;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Повышение информированности субъектов малого и среднего предпринимательства (в том числе  о способах и мерах государственной и муниципальной поддержки), что будет способствовать повышению квалификации и развитию</w:t>
            </w:r>
          </w:p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сферы малого и среднего предпринимательства</w:t>
            </w:r>
          </w:p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70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64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57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размещение и актуализация информации по вопросам предпринимательства во вкладке «Предпринимательство» официального сайта администрации Ольховского муниципального района Волгоградской области и в средствах массовой информации</w:t>
            </w:r>
          </w:p>
        </w:tc>
        <w:tc>
          <w:tcPr>
            <w:tcW w:w="2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отдел экономики и управления имуществом Администрации Ольховского муниципального района Волгоградской области;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67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46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42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1.3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развитие системы информационной </w:t>
            </w:r>
          </w:p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поддержки субъектов малого и среднего предпринимательства</w:t>
            </w:r>
          </w:p>
        </w:tc>
        <w:tc>
          <w:tcPr>
            <w:tcW w:w="274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отдел экономики и управления имуществом Администрации Ольховского муниципального района Волгоградской области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Улучшение внешней среды развития малого и среднего предпринимательства и</w:t>
            </w:r>
          </w:p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взаимодействие с органами местного самоуправления</w:t>
            </w:r>
          </w:p>
        </w:tc>
      </w:tr>
      <w:tr w:rsidR="00DA6049" w:rsidRPr="002E60A1" w:rsidTr="001E2116">
        <w:trPr>
          <w:trHeight w:val="43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30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30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Информирование и разъяснение субъектам малого и среднего предпринимательства нормативно-правовых актов в сфере предпринимательской деятельности</w:t>
            </w:r>
          </w:p>
        </w:tc>
        <w:tc>
          <w:tcPr>
            <w:tcW w:w="2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отдел экономики и управления имуществом Администрации Ольховского муниципального района Волгоградской области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Устранение административных барьеров, препятствующих развитию субъектов малого и среднего </w:t>
            </w:r>
            <w:r w:rsidRPr="002E6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предпринимательства</w:t>
            </w:r>
          </w:p>
        </w:tc>
      </w:tr>
      <w:tr w:rsidR="00DA6049" w:rsidRPr="002E60A1" w:rsidTr="001E2116">
        <w:trPr>
          <w:trHeight w:val="30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30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tabs>
                <w:tab w:val="left" w:pos="351"/>
              </w:tabs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Оказание консультационных услуг с разъяснениями особенностей социального налогового режима для самозанятых граждан и особенностей регионального законодательства в этой части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отдел экономики и управления имуществом Администрации Ольховского муниципального района Волгоградской области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самозанятых граждан, зафиксировавших свой статус с учетом введения налогового режима для самозанятых</w:t>
            </w:r>
          </w:p>
        </w:tc>
      </w:tr>
      <w:tr w:rsidR="00DA6049" w:rsidRPr="002E60A1" w:rsidTr="001E2116">
        <w:trPr>
          <w:trHeight w:val="378"/>
        </w:trPr>
        <w:tc>
          <w:tcPr>
            <w:tcW w:w="152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Pr="002E6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Оказание имущественной поддержки субъектов малого и среднего предпринимательства</w:t>
            </w:r>
          </w:p>
        </w:tc>
      </w:tr>
      <w:tr w:rsidR="00DA6049" w:rsidRPr="002E60A1" w:rsidTr="001E2116">
        <w:trPr>
          <w:trHeight w:val="7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системы имущественной поддержки субъектов малого и среднего предпринимательства</w:t>
            </w:r>
          </w:p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отдел экономики и управления имуществом Администрации Ольховского муниципального района Волгоградской области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Повышение информированности субъектов малого и среднего предпринимательства (в том числе  о способах и мерах государственной и муниципальной поддержки), что будет способствовать повышению квалификации и развитию  сферы малого и среднего предпринимательства;</w:t>
            </w:r>
          </w:p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34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29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49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совершенствование льготного порядка предоставления имущества в аренду;</w:t>
            </w:r>
          </w:p>
        </w:tc>
        <w:tc>
          <w:tcPr>
            <w:tcW w:w="2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отдел экономики и управления имуществом Администрации Ольховского </w:t>
            </w: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2023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56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10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360"/>
        </w:trPr>
        <w:tc>
          <w:tcPr>
            <w:tcW w:w="152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3. </w:t>
            </w:r>
            <w:r w:rsidRPr="002E6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Популяризация предпринимательской деятельности и вовлечение молодежи в сферу предпринимательства</w:t>
            </w:r>
          </w:p>
        </w:tc>
      </w:tr>
      <w:tr w:rsidR="00DA6049" w:rsidRPr="002E60A1" w:rsidTr="001E2116">
        <w:trPr>
          <w:trHeight w:val="50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организация и проведение конкурсов среди предпринимателей</w:t>
            </w:r>
          </w:p>
        </w:tc>
        <w:tc>
          <w:tcPr>
            <w:tcW w:w="2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отдел экономики и управления имуществом Администрации Ольховского муниципального района Волгоградской области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Повышение социального статуса и престижа предпринимательства</w:t>
            </w:r>
          </w:p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41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33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38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3.2</w:t>
            </w:r>
          </w:p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организация и проведение конкурсов, деловых игр, открытых уроков для школьников по основам предпринимательства</w:t>
            </w:r>
          </w:p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отдел экономики и управления имуществом Администрации Ольховского муниципального района Волгоградской области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5,60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Популяризация предпринимательской деятельности и вовлечение молодежи в сферу предпринимательства</w:t>
            </w:r>
          </w:p>
        </w:tc>
      </w:tr>
      <w:tr w:rsidR="00DA6049" w:rsidRPr="002E60A1" w:rsidTr="001E2116">
        <w:trPr>
          <w:trHeight w:val="43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5,60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20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5,60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18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3.3</w:t>
            </w:r>
          </w:p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Вручение грамот в связи с празднованием Дня предпринимателя, Дня работников торговли и других отраслевых праздников, к каждой праздничной дате.</w:t>
            </w:r>
          </w:p>
        </w:tc>
        <w:tc>
          <w:tcPr>
            <w:tcW w:w="2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отдел экономики и управления имуществом Администрации Ольховского муниципального района Волгоградской области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0,90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49" w:rsidRPr="002E60A1" w:rsidRDefault="00DA6049" w:rsidP="001E2116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18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0,90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18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6049" w:rsidRPr="002E60A1" w:rsidRDefault="00DA6049" w:rsidP="001E2116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0,90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18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Всего за 2023 год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6049" w:rsidRPr="002E60A1" w:rsidRDefault="00DA6049" w:rsidP="001E2116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6049" w:rsidRPr="002E60A1" w:rsidRDefault="00DA6049" w:rsidP="001E2116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9,50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49" w:rsidRPr="002E60A1" w:rsidRDefault="00DA6049" w:rsidP="001E2116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187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Всего за 2024 год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DA6049" w:rsidRPr="002E60A1" w:rsidRDefault="00DA6049" w:rsidP="001E2116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A6049" w:rsidRPr="002E60A1" w:rsidRDefault="00DA6049" w:rsidP="001E2116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0A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0A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9,50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302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Всего за 2025 год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049" w:rsidRPr="002E60A1" w:rsidRDefault="00DA6049" w:rsidP="001E2116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6049" w:rsidRPr="002E60A1" w:rsidRDefault="00DA6049" w:rsidP="001E2116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0A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0A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9,50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rPr>
          <w:trHeight w:val="18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049" w:rsidRPr="002E60A1" w:rsidRDefault="00DA6049" w:rsidP="001E2116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049" w:rsidRPr="002E60A1" w:rsidRDefault="00DA6049" w:rsidP="001E2116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28,50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28,50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49" w:rsidRPr="002E60A1" w:rsidRDefault="00DA6049" w:rsidP="001E211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049" w:rsidRPr="002E60A1" w:rsidRDefault="00DA6049" w:rsidP="001E211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DA6049" w:rsidRPr="002E60A1" w:rsidRDefault="00DA6049" w:rsidP="00DA60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ind w:left="284" w:right="326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ind w:left="284" w:right="326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rPr>
          <w:rFonts w:ascii="Times New Roman" w:hAnsi="Times New Roman" w:cs="Times New Roman"/>
          <w:sz w:val="20"/>
          <w:szCs w:val="20"/>
        </w:rPr>
        <w:sectPr w:rsidR="00DA6049" w:rsidRPr="002E60A1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DA6049" w:rsidRPr="002E60A1" w:rsidRDefault="00DA6049" w:rsidP="00DA6049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lastRenderedPageBreak/>
        <w:t>Раздел  5. Прогноз сводных показателей муниципальных заданий в рамках реализации муниципальной программы.</w:t>
      </w:r>
    </w:p>
    <w:p w:rsidR="00DA6049" w:rsidRPr="002E60A1" w:rsidRDefault="00DA6049" w:rsidP="00DA6049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 xml:space="preserve">  Оказание (выполнение) в рамках муниципальной программы муниципальными учреждениями Ольховского муниципального района Волгоградской области муниципальных услуг (работ) юридическим и (или) физическим лицам в рамках муниципальной программы не предусмотрено.</w:t>
      </w:r>
    </w:p>
    <w:p w:rsidR="00DA6049" w:rsidRPr="002E60A1" w:rsidRDefault="00DA6049" w:rsidP="00DA6049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 xml:space="preserve">Раздел 6. Обоснование объема финансовых ресурсов, </w:t>
      </w:r>
    </w:p>
    <w:p w:rsidR="00DA6049" w:rsidRPr="002E60A1" w:rsidRDefault="00DA6049" w:rsidP="00DA6049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2E60A1">
        <w:rPr>
          <w:rFonts w:ascii="Times New Roman" w:hAnsi="Times New Roman" w:cs="Times New Roman"/>
          <w:sz w:val="20"/>
          <w:szCs w:val="20"/>
        </w:rPr>
        <w:t>необходимых</w:t>
      </w:r>
      <w:proofErr w:type="gramEnd"/>
      <w:r w:rsidRPr="002E60A1">
        <w:rPr>
          <w:rFonts w:ascii="Times New Roman" w:hAnsi="Times New Roman" w:cs="Times New Roman"/>
          <w:sz w:val="20"/>
          <w:szCs w:val="20"/>
        </w:rPr>
        <w:t xml:space="preserve"> для реализации муниципальной программы</w:t>
      </w:r>
    </w:p>
    <w:p w:rsidR="00DA6049" w:rsidRPr="002E60A1" w:rsidRDefault="00DA6049" w:rsidP="00DA6049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E60A1">
        <w:rPr>
          <w:rFonts w:ascii="Times New Roman" w:hAnsi="Times New Roman" w:cs="Times New Roman"/>
          <w:color w:val="000000"/>
          <w:sz w:val="20"/>
          <w:szCs w:val="20"/>
        </w:rPr>
        <w:t>Финансирование мероприятий муниципальной программы осуществляется за счет средств бюджета Ольховского муниципального района.</w:t>
      </w:r>
    </w:p>
    <w:p w:rsidR="00DA6049" w:rsidRPr="002E60A1" w:rsidRDefault="00DA6049" w:rsidP="00DA604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E60A1">
        <w:rPr>
          <w:rFonts w:ascii="Times New Roman" w:hAnsi="Times New Roman" w:cs="Times New Roman"/>
          <w:color w:val="000000"/>
          <w:sz w:val="20"/>
          <w:szCs w:val="20"/>
        </w:rPr>
        <w:t xml:space="preserve">Общий объем финансирования для реализации муниципальной программы в 2023 - 2025 гг. за счет средств бюджета Ольховского муниципального района составляет </w:t>
      </w:r>
      <w:r w:rsidRPr="002E60A1">
        <w:rPr>
          <w:rFonts w:ascii="Times New Roman" w:hAnsi="Times New Roman" w:cs="Times New Roman"/>
          <w:sz w:val="20"/>
          <w:szCs w:val="20"/>
        </w:rPr>
        <w:t>28,5</w:t>
      </w:r>
      <w:r w:rsidRPr="002E60A1">
        <w:rPr>
          <w:rFonts w:ascii="Times New Roman" w:hAnsi="Times New Roman" w:cs="Times New Roman"/>
          <w:color w:val="000000"/>
          <w:sz w:val="20"/>
          <w:szCs w:val="20"/>
        </w:rPr>
        <w:t> тыс.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60A1">
        <w:rPr>
          <w:rFonts w:ascii="Times New Roman" w:hAnsi="Times New Roman" w:cs="Times New Roman"/>
          <w:b/>
          <w:sz w:val="20"/>
          <w:szCs w:val="20"/>
        </w:rPr>
        <w:t xml:space="preserve">На 2023 год объем финансирования составляет 9,5 тыс. рублей 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1. организация и проведение конкурсов среди предпринимателей: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Для награждения победителей конкурса планируется приобретение: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- стоимость одного диплома составит 500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500 руб. х 3 диплома = 1,5 тыс.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- стоимость одного ежедневника составит 500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500 руб. х 3 ежедневника = 1,5 тыс.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2. организация и проведение конкурсов, деловых игр, открытых уроков для школьников по основам предпринимательства.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Для награждения школьников, участвующих в конкурсах, деловых играх по основам предпринимательства планируется приобретение: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- стоимость 1 грамоты 30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30 руб. х 10 грамот = 0,3 тыс.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- стоимость 1 блокнота 200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200 руб. х 9 блокнотов = 1,8 тыс.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- стоимость 1 набора для творчества 700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700 руб. х 5 наборов = 3,5 тыс.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 xml:space="preserve">3. Вручение грамот в связи с празднованием Дня предпринимателя, Дня работников торговли и других отраслевых праздников. 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2E60A1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2E60A1">
        <w:rPr>
          <w:rFonts w:ascii="Times New Roman" w:hAnsi="Times New Roman" w:cs="Times New Roman"/>
          <w:sz w:val="20"/>
          <w:szCs w:val="20"/>
        </w:rPr>
        <w:t>тоимость 1 грамоты 30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30 руб. х 30 грамот = 0,9 тыс.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60A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На 2024 год объем финансирования составляет 9,5 тыс. рублей 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1. организация и проведение конкурсов среди предпринимателей: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Для награждения победителей конкурса планируется приобретение: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- стоимость одного диплома составит 500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500 руб. х 3 диплома = 1,5 тыс.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- стоимость одного ежедневника составит 500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500 руб. х 3 ежедневника = 1,5 тыс.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2. организация и проведение конкурсов, деловых игр, открытых уроков для школьников по основам предпринимательства.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Для награждения школьников, участвующих в конкурсах, деловых играх по основам предпринимательства планируется приобретение: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- стоимость 1 грамоты 30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30 руб. х 10 грамот = 0,3 тыс.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- стоимость 1 блокнота 200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200 руб. х 9 блокнотов = 1,8 тыс.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- стоимость 1 набора для творчества 700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700 руб. х 5 наборов = 3,5 тыс.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 xml:space="preserve">3. Вручение грамот в связи с празднованием Дня предпринимателя, Дня работников торговли и других отраслевых праздников. 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2E60A1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2E60A1">
        <w:rPr>
          <w:rFonts w:ascii="Times New Roman" w:hAnsi="Times New Roman" w:cs="Times New Roman"/>
          <w:sz w:val="20"/>
          <w:szCs w:val="20"/>
        </w:rPr>
        <w:t>тоимость 1 грамоты 30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30 руб. х 30 грамот = 0,9 тыс.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60A1">
        <w:rPr>
          <w:rFonts w:ascii="Times New Roman" w:hAnsi="Times New Roman" w:cs="Times New Roman"/>
          <w:b/>
          <w:sz w:val="20"/>
          <w:szCs w:val="20"/>
        </w:rPr>
        <w:t xml:space="preserve">На 2025 год объем финансирования составляет 9,5 тыс. рублей 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1. организация и проведение конкурсов среди предпринимателей: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Для награждения победителей конкурса планируется приобретение: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- стоимость одного диплома составит 500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500 руб. х 3 диплома = 1,5 тыс.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- стоимость одного ежедневника составит 500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500 руб. х 3 ежедневника = 1,5 тыс.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2. организация и проведение конкурсов, деловых игр, открытых уроков для школьников по основам предпринимательства.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Для награждения школьников, участвующих в конкурсах, деловых играх по основам предпринимательства планируется приобретение: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- стоимость 1 грамоты 30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30 руб. х 10 грамот = 0,3 тыс.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lastRenderedPageBreak/>
        <w:t>- стоимость 1 блокнота 200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200 руб. х 9 блокнотов = 1,8 тыс.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- стоимость 1 набора для творчества 700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700 руб. х 5 наборов = 3,5 тыс.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 xml:space="preserve">3. Вручение грамот в связи с празднованием Дня предпринимателя, Дня работников торговли и других отраслевых праздников. 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2E60A1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2E60A1">
        <w:rPr>
          <w:rFonts w:ascii="Times New Roman" w:hAnsi="Times New Roman" w:cs="Times New Roman"/>
          <w:sz w:val="20"/>
          <w:szCs w:val="20"/>
        </w:rPr>
        <w:t>тоимость 1 грамоты 30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30 руб. х 30 грамот = 0,9 тыс. руб.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Раздел 7. Механизмы реализации муниципальной программы</w:t>
      </w:r>
    </w:p>
    <w:p w:rsidR="00DA6049" w:rsidRPr="002E60A1" w:rsidRDefault="00DA6049" w:rsidP="00DA6049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Заказчиком-координатором программы является Администрация Ольховского муниципального района, которая осуществляет управление и организует реализацию мероприятий программы по срокам и процедурам, согласованным с заказчиками – непосредственными исполнителями мероприятий программы.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Исполнителями программы являются: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- отдел экономики и управления имуществом Администрации Ольховского муниципального района Волгоградской области.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Соисполнителем программы является: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- отдел по образованию и молодежной политике Администрации Ольховского муниципального   района Волгоградской области.</w:t>
      </w: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 xml:space="preserve">Отдел экономики и управления имуществом Администрации Ольховского муниципального района Волгоградской области осуществляет организационный  </w:t>
      </w:r>
      <w:proofErr w:type="gramStart"/>
      <w:r w:rsidRPr="002E60A1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2E60A1">
        <w:rPr>
          <w:rFonts w:ascii="Times New Roman" w:hAnsi="Times New Roman" w:cs="Times New Roman"/>
          <w:sz w:val="20"/>
          <w:szCs w:val="20"/>
        </w:rPr>
        <w:t xml:space="preserve"> исполнением программных мероприятий, составляет, корректирует смету мероприятий, подготавливает распоряжения или заявки на финансирование мероприятий. Ответственными исполнителями реализации мероприятий по данной  программе являются отдел экономики и управления имуществом Администрации Ольховского муниципального района Волгоградской области и отдел по образованию и молодежной политике Администрации Ольховского муниципального   района Волгоградской области. Отдел экономики и управления имуществом Администрации Ольховского муниципального района Волгоградской области и отдел по образованию и молодежной политике Администрации Ольховского муниципального   района Волгоградской области несут ответственность за реализацию и конечные результаты  программы, рациональное использование финансовых средств, выделяемых на ее выполнение, несут ответственность за своевременную отчетность по ее исполнению.</w:t>
      </w:r>
    </w:p>
    <w:p w:rsidR="00DA6049" w:rsidRPr="002E60A1" w:rsidRDefault="00DA6049" w:rsidP="00DA6049">
      <w:pPr>
        <w:ind w:firstLine="709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jc w:val="center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 xml:space="preserve">Раздел 8. Перечень имущества, создаваемого (приобретаемого) в ходе реализации муниципальной программы. Сведения о правах на  имущество, создаваемое (приобретаемое) в ходе реализации муниципальной программы. </w:t>
      </w:r>
    </w:p>
    <w:p w:rsidR="00DA6049" w:rsidRPr="002E60A1" w:rsidRDefault="00DA6049" w:rsidP="00DA6049">
      <w:pPr>
        <w:ind w:firstLine="709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60A1">
        <w:rPr>
          <w:rFonts w:ascii="Times New Roman" w:hAnsi="Times New Roman" w:cs="Times New Roman"/>
          <w:sz w:val="20"/>
          <w:szCs w:val="20"/>
        </w:rPr>
        <w:t>В ходе реализации муниципальной программы планируется ежегодное приобретение в виде закупок:</w:t>
      </w:r>
    </w:p>
    <w:tbl>
      <w:tblPr>
        <w:tblW w:w="9464" w:type="dxa"/>
        <w:tblLayout w:type="fixed"/>
        <w:tblLook w:val="04A0"/>
      </w:tblPr>
      <w:tblGrid>
        <w:gridCol w:w="595"/>
        <w:gridCol w:w="2774"/>
        <w:gridCol w:w="1512"/>
        <w:gridCol w:w="1512"/>
        <w:gridCol w:w="1512"/>
        <w:gridCol w:w="1559"/>
      </w:tblGrid>
      <w:tr w:rsidR="00DA6049" w:rsidRPr="002E60A1" w:rsidTr="001E2116">
        <w:tc>
          <w:tcPr>
            <w:tcW w:w="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№ </w:t>
            </w:r>
            <w:proofErr w:type="gramStart"/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7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имущества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приобретаемого имущества по годам, шт.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Итого, шт.</w:t>
            </w:r>
          </w:p>
        </w:tc>
      </w:tr>
      <w:tr w:rsidR="00DA6049" w:rsidRPr="002E60A1" w:rsidTr="001E2116">
        <w:trPr>
          <w:trHeight w:val="315"/>
        </w:trPr>
        <w:tc>
          <w:tcPr>
            <w:tcW w:w="5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049" w:rsidRPr="002E60A1" w:rsidRDefault="00DA6049" w:rsidP="001E211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049" w:rsidRPr="002E60A1" w:rsidRDefault="00DA6049" w:rsidP="001E211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049" w:rsidRPr="002E60A1" w:rsidRDefault="00DA6049" w:rsidP="001E211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6049" w:rsidRPr="002E60A1" w:rsidTr="001E2116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Дипломы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</w:tr>
      <w:tr w:rsidR="00DA6049" w:rsidRPr="002E60A1" w:rsidTr="001E2116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Ежедневники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</w:tr>
      <w:tr w:rsidR="00DA6049" w:rsidRPr="002E60A1" w:rsidTr="001E2116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Грамоты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120</w:t>
            </w:r>
          </w:p>
        </w:tc>
      </w:tr>
      <w:tr w:rsidR="00DA6049" w:rsidRPr="002E60A1" w:rsidTr="001E2116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Блокноты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</w:t>
            </w:r>
          </w:p>
        </w:tc>
      </w:tr>
      <w:tr w:rsidR="00DA6049" w:rsidRPr="002E60A1" w:rsidTr="001E2116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Наборы для творчества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049" w:rsidRPr="002E60A1" w:rsidRDefault="00DA6049" w:rsidP="001E2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60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</w:tbl>
    <w:p w:rsidR="00DA6049" w:rsidRPr="002E60A1" w:rsidRDefault="00DA6049" w:rsidP="00DA60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A6049" w:rsidRPr="002E60A1" w:rsidRDefault="00DA6049" w:rsidP="00DA60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A6049" w:rsidRPr="002E60A1" w:rsidRDefault="00DA6049" w:rsidP="00DA60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A6049" w:rsidRDefault="00DA6049" w:rsidP="00DA60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6049" w:rsidRDefault="00DA6049" w:rsidP="00DA60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6049" w:rsidRDefault="00DA6049" w:rsidP="00DA60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6049" w:rsidRDefault="00DA6049" w:rsidP="00DA60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6049" w:rsidRDefault="00DA6049" w:rsidP="00DA60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15A9" w:rsidRDefault="009715A9"/>
    <w:sectPr w:rsidR="00971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08"/>
  <w:characterSpacingControl w:val="doNotCompress"/>
  <w:compat>
    <w:useFELayout/>
  </w:compat>
  <w:rsids>
    <w:rsidRoot w:val="00DA6049"/>
    <w:rsid w:val="009715A9"/>
    <w:rsid w:val="00DA6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60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0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Paragraphe de liste1,lp1"/>
    <w:basedOn w:val="a"/>
    <w:link w:val="a4"/>
    <w:uiPriority w:val="99"/>
    <w:qFormat/>
    <w:rsid w:val="00DA6049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Hyperlink"/>
    <w:unhideWhenUsed/>
    <w:rsid w:val="00DA6049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99"/>
    <w:locked/>
    <w:rsid w:val="00DA6049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udit-it.ru/okved/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3972</Words>
  <Characters>22644</Characters>
  <Application>Microsoft Office Word</Application>
  <DocSecurity>0</DocSecurity>
  <Lines>188</Lines>
  <Paragraphs>53</Paragraphs>
  <ScaleCrop>false</ScaleCrop>
  <Company/>
  <LinksUpToDate>false</LinksUpToDate>
  <CharactersWithSpaces>26563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2025-10-08T10:38:00Z</dcterms:created>
  <dcterms:modified xsi:type="dcterms:W3CDTF">2025-10-08T10:38:00Z</dcterms:modified>
</cp:coreProperties>
</file>